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ED2F27" w:rsidRDefault="00E72674" w:rsidP="002E6488">
      <w:pPr>
        <w:pStyle w:val="Header"/>
        <w:tabs>
          <w:tab w:val="clear" w:pos="4680"/>
        </w:tabs>
        <w:rPr>
          <w:sz w:val="24"/>
          <w:szCs w:val="24"/>
          <w:lang w:val="en-US" w:eastAsia="ja-JP"/>
        </w:rPr>
      </w:pPr>
      <w:r w:rsidRPr="00ED2F27">
        <w:rPr>
          <w:sz w:val="24"/>
          <w:szCs w:val="24"/>
          <w:lang w:val="en-US"/>
        </w:rPr>
        <w:t>TSG-RAN Meeting #4</w:t>
      </w:r>
      <w:r w:rsidR="001D2F35" w:rsidRPr="00ED2F27">
        <w:rPr>
          <w:rFonts w:hint="eastAsia"/>
          <w:sz w:val="24"/>
          <w:szCs w:val="24"/>
          <w:lang w:val="en-US" w:eastAsia="ja-JP"/>
        </w:rPr>
        <w:t>4</w:t>
      </w:r>
      <w:r w:rsidR="00C539C7" w:rsidRPr="00ED2F27">
        <w:rPr>
          <w:sz w:val="24"/>
          <w:szCs w:val="24"/>
          <w:lang w:val="en-US"/>
        </w:rPr>
        <w:tab/>
        <w:t>RP-</w:t>
      </w:r>
      <w:r w:rsidR="00EE043B" w:rsidRPr="00ED2F27">
        <w:rPr>
          <w:sz w:val="24"/>
          <w:szCs w:val="24"/>
          <w:lang w:val="en-US"/>
        </w:rPr>
        <w:t>0</w:t>
      </w:r>
      <w:r w:rsidRPr="00ED2F27">
        <w:rPr>
          <w:sz w:val="24"/>
          <w:szCs w:val="24"/>
          <w:lang w:val="en-US"/>
        </w:rPr>
        <w:t>9</w:t>
      </w:r>
      <w:r w:rsidR="003C7E3A">
        <w:rPr>
          <w:sz w:val="24"/>
          <w:szCs w:val="24"/>
          <w:lang w:val="en-US" w:eastAsia="ja-JP"/>
        </w:rPr>
        <w:t>0609</w:t>
      </w:r>
    </w:p>
    <w:p w:rsidR="00CB40E6" w:rsidRPr="00ED2F27" w:rsidRDefault="003D5CA1" w:rsidP="002E6488">
      <w:pPr>
        <w:rPr>
          <w:rFonts w:ascii="Arial" w:hAnsi="Arial" w:cs="Arial"/>
          <w:b/>
          <w:sz w:val="24"/>
          <w:szCs w:val="24"/>
          <w:lang w:val="en-GB"/>
        </w:rPr>
      </w:pPr>
      <w:r w:rsidRPr="00ED2F27">
        <w:rPr>
          <w:rFonts w:ascii="Arial" w:hAnsi="Arial" w:cs="Arial"/>
          <w:b/>
          <w:sz w:val="24"/>
          <w:szCs w:val="24"/>
          <w:lang w:val="en-GB"/>
        </w:rPr>
        <w:t xml:space="preserve">Aruba, </w:t>
      </w:r>
      <w:r w:rsidRPr="00ED2F27">
        <w:rPr>
          <w:rStyle w:val="Emphasis"/>
          <w:rFonts w:ascii="Arial" w:hAnsi="Arial" w:cs="Arial"/>
          <w:color w:val="000000"/>
          <w:sz w:val="24"/>
          <w:szCs w:val="24"/>
        </w:rPr>
        <w:t>Netherlands</w:t>
      </w:r>
      <w:r w:rsidRPr="00ED2F27">
        <w:rPr>
          <w:rFonts w:ascii="Arial" w:hAnsi="Arial" w:cs="Arial"/>
          <w:b/>
          <w:sz w:val="24"/>
          <w:szCs w:val="24"/>
          <w:lang w:val="en-GB"/>
        </w:rPr>
        <w:t>,  26</w:t>
      </w:r>
      <w:r>
        <w:rPr>
          <w:rFonts w:ascii="Arial" w:hAnsi="Arial" w:cs="Arial"/>
          <w:b/>
          <w:sz w:val="24"/>
          <w:szCs w:val="24"/>
          <w:lang w:val="en-GB"/>
        </w:rPr>
        <w:t xml:space="preserve"> </w:t>
      </w:r>
      <w:r w:rsidRPr="00ED2F27">
        <w:rPr>
          <w:rFonts w:ascii="Arial" w:hAnsi="Arial" w:cs="Arial"/>
          <w:b/>
          <w:sz w:val="24"/>
          <w:szCs w:val="24"/>
          <w:lang w:val="en-GB"/>
        </w:rPr>
        <w:t>- 29 May 2009</w:t>
      </w:r>
    </w:p>
    <w:p w:rsidR="004A7366" w:rsidRPr="00ED2F27" w:rsidRDefault="004A7366" w:rsidP="002E6488">
      <w:pPr>
        <w:tabs>
          <w:tab w:val="left" w:pos="1985"/>
        </w:tabs>
        <w:rPr>
          <w:rFonts w:ascii="Arial" w:hAnsi="Arial"/>
          <w:b/>
          <w:sz w:val="24"/>
          <w:szCs w:val="24"/>
          <w:lang w:val="en-GB"/>
        </w:rPr>
      </w:pPr>
    </w:p>
    <w:p w:rsidR="00CB40E6" w:rsidRPr="00ED2F27" w:rsidRDefault="00CB40E6" w:rsidP="002E6488">
      <w:pPr>
        <w:tabs>
          <w:tab w:val="left" w:pos="1985"/>
        </w:tabs>
        <w:rPr>
          <w:rFonts w:ascii="Arial" w:hAnsi="Arial"/>
          <w:b/>
          <w:sz w:val="24"/>
          <w:szCs w:val="24"/>
          <w:lang w:val="it-IT"/>
        </w:rPr>
      </w:pPr>
      <w:r w:rsidRPr="00ED2F27">
        <w:rPr>
          <w:rFonts w:ascii="Arial" w:hAnsi="Arial"/>
          <w:b/>
          <w:sz w:val="24"/>
          <w:szCs w:val="24"/>
          <w:lang w:val="it-IT"/>
        </w:rPr>
        <w:t>Agenda Item:</w:t>
      </w:r>
      <w:r w:rsidRPr="00ED2F27">
        <w:rPr>
          <w:rFonts w:ascii="Arial" w:hAnsi="Arial"/>
          <w:b/>
          <w:sz w:val="24"/>
          <w:szCs w:val="24"/>
          <w:lang w:val="it-IT"/>
        </w:rPr>
        <w:tab/>
      </w:r>
      <w:bookmarkStart w:id="0" w:name="Source"/>
      <w:bookmarkEnd w:id="0"/>
      <w:r w:rsidR="002D2E98" w:rsidRPr="00ED2F27">
        <w:rPr>
          <w:rFonts w:ascii="Arial" w:hAnsi="Arial"/>
          <w:b/>
          <w:sz w:val="24"/>
          <w:szCs w:val="24"/>
          <w:lang w:val="it-IT"/>
        </w:rPr>
        <w:t>1</w:t>
      </w:r>
      <w:r w:rsidRPr="00ED2F27">
        <w:rPr>
          <w:rFonts w:ascii="Arial" w:hAnsi="Arial"/>
          <w:b/>
          <w:sz w:val="24"/>
          <w:szCs w:val="24"/>
          <w:lang w:val="it-IT"/>
        </w:rPr>
        <w:t>2</w:t>
      </w:r>
      <w:r w:rsidR="006A6D05" w:rsidRPr="00ED2F27">
        <w:rPr>
          <w:rFonts w:ascii="Arial" w:hAnsi="Arial"/>
          <w:b/>
          <w:sz w:val="24"/>
          <w:szCs w:val="24"/>
          <w:lang w:val="it-IT"/>
        </w:rPr>
        <w:t xml:space="preserve"> </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Source: </w:t>
      </w:r>
      <w:r w:rsidRPr="00ED2F27">
        <w:rPr>
          <w:rFonts w:ascii="Arial" w:hAnsi="Arial"/>
          <w:b/>
          <w:sz w:val="24"/>
          <w:szCs w:val="24"/>
        </w:rPr>
        <w:tab/>
      </w:r>
      <w:r w:rsidR="007166BF" w:rsidRPr="00ED2F27">
        <w:rPr>
          <w:rFonts w:ascii="Arial" w:hAnsi="Arial"/>
          <w:b/>
          <w:sz w:val="24"/>
          <w:szCs w:val="24"/>
        </w:rPr>
        <w:t>AT&amp;T</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Title: </w:t>
      </w:r>
      <w:r w:rsidRPr="00ED2F27">
        <w:rPr>
          <w:rFonts w:ascii="Arial" w:hAnsi="Arial"/>
          <w:b/>
          <w:sz w:val="24"/>
          <w:szCs w:val="24"/>
        </w:rPr>
        <w:tab/>
      </w:r>
      <w:r w:rsidR="00D63B15">
        <w:rPr>
          <w:rFonts w:ascii="Arial" w:hAnsi="Arial"/>
          <w:b/>
          <w:sz w:val="24"/>
          <w:szCs w:val="24"/>
        </w:rPr>
        <w:t xml:space="preserve">Problem Description </w:t>
      </w:r>
      <w:r w:rsidR="00D63B15" w:rsidRPr="00D63B15">
        <w:rPr>
          <w:rFonts w:ascii="Arial" w:hAnsi="Arial"/>
          <w:b/>
          <w:sz w:val="24"/>
          <w:szCs w:val="24"/>
        </w:rPr>
        <w:t>- I</w:t>
      </w:r>
      <w:r w:rsidR="00D63B15">
        <w:rPr>
          <w:rFonts w:ascii="Arial" w:hAnsi="Arial"/>
          <w:b/>
          <w:sz w:val="24"/>
          <w:szCs w:val="24"/>
        </w:rPr>
        <w:t>nter-carrier load balancing</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Document for:</w:t>
      </w:r>
      <w:r w:rsidRPr="00ED2F27">
        <w:rPr>
          <w:rFonts w:ascii="Arial" w:hAnsi="Arial"/>
          <w:b/>
          <w:sz w:val="24"/>
          <w:szCs w:val="24"/>
        </w:rPr>
        <w:tab/>
      </w:r>
      <w:bookmarkStart w:id="1" w:name="DocumentFor"/>
      <w:bookmarkEnd w:id="1"/>
      <w:r w:rsidR="00E9608E" w:rsidRPr="00ED2F27">
        <w:rPr>
          <w:rFonts w:ascii="Arial" w:hAnsi="Arial"/>
          <w:b/>
          <w:sz w:val="24"/>
          <w:szCs w:val="24"/>
        </w:rPr>
        <w:t>Discussion</w:t>
      </w:r>
    </w:p>
    <w:p w:rsidR="00CB40E6" w:rsidRPr="007176C0" w:rsidRDefault="00CB40E6" w:rsidP="002E6488">
      <w:pPr>
        <w:pBdr>
          <w:bottom w:val="single" w:sz="12" w:space="1" w:color="auto"/>
        </w:pBdr>
        <w:rPr>
          <w:sz w:val="20"/>
          <w:szCs w:val="20"/>
        </w:rPr>
      </w:pPr>
    </w:p>
    <w:p w:rsidR="00CB40E6" w:rsidRPr="00275FE1" w:rsidRDefault="00390691" w:rsidP="002E6488">
      <w:pPr>
        <w:spacing w:before="240" w:after="240"/>
        <w:rPr>
          <w:rFonts w:ascii="Arial" w:hAnsi="Arial" w:cs="Arial"/>
          <w:b/>
          <w:sz w:val="24"/>
          <w:szCs w:val="24"/>
        </w:rPr>
      </w:pPr>
      <w:r w:rsidRPr="00275FE1">
        <w:rPr>
          <w:rFonts w:ascii="Arial" w:hAnsi="Arial" w:cs="Arial"/>
          <w:b/>
          <w:sz w:val="24"/>
          <w:szCs w:val="24"/>
        </w:rPr>
        <w:t>INTRODUCTION</w:t>
      </w:r>
    </w:p>
    <w:p w:rsidR="0021395B" w:rsidRPr="007176C0" w:rsidRDefault="0021395B" w:rsidP="00842127">
      <w:pPr>
        <w:rPr>
          <w:rFonts w:ascii="Arial" w:hAnsi="Arial" w:cs="Arial"/>
          <w:sz w:val="20"/>
          <w:szCs w:val="20"/>
        </w:rPr>
      </w:pPr>
      <w:r w:rsidRPr="007176C0">
        <w:rPr>
          <w:rFonts w:ascii="Arial" w:hAnsi="Arial" w:cs="Arial"/>
          <w:sz w:val="20"/>
          <w:szCs w:val="20"/>
        </w:rPr>
        <w:t xml:space="preserve">This paper describes the problem of </w:t>
      </w:r>
      <w:r w:rsidR="00870928" w:rsidRPr="00870928">
        <w:rPr>
          <w:rFonts w:ascii="Arial" w:hAnsi="Arial" w:cs="Arial"/>
          <w:sz w:val="20"/>
          <w:szCs w:val="20"/>
        </w:rPr>
        <w:t>Inter-carrier load balancing</w:t>
      </w:r>
      <w:r w:rsidR="00870928">
        <w:rPr>
          <w:rFonts w:ascii="Arial" w:hAnsi="Arial" w:cs="Arial"/>
          <w:sz w:val="20"/>
          <w:szCs w:val="20"/>
        </w:rPr>
        <w:t>.</w:t>
      </w:r>
    </w:p>
    <w:p w:rsidR="002B0EAD" w:rsidRPr="007176C0" w:rsidRDefault="002B0EAD" w:rsidP="00842127">
      <w:pPr>
        <w:rPr>
          <w:rFonts w:ascii="Arial" w:hAnsi="Arial" w:cs="Arial"/>
          <w:sz w:val="20"/>
          <w:szCs w:val="20"/>
        </w:rPr>
      </w:pPr>
    </w:p>
    <w:p w:rsidR="00061F4B" w:rsidRPr="007176C0" w:rsidRDefault="00870928" w:rsidP="00842127">
      <w:pPr>
        <w:rPr>
          <w:rFonts w:ascii="Arial" w:hAnsi="Arial" w:cs="Arial"/>
          <w:sz w:val="20"/>
          <w:szCs w:val="20"/>
        </w:rPr>
      </w:pPr>
      <w:r w:rsidRPr="00870928">
        <w:rPr>
          <w:rFonts w:ascii="Arial" w:hAnsi="Arial" w:cs="Arial"/>
          <w:sz w:val="20"/>
          <w:szCs w:val="20"/>
        </w:rPr>
        <w:t>Current inter-carrier load balancing mechanisms require per-call signaling, call release signaling and / or relatively coarse carrier priority broadcasts for camping UE to follow. Per-call and call release balancing is unattractive because the initial call (if successful) is on an already-loaded carrier. Initial resource allocations (even if held for a short term on the loaded carrie</w:t>
      </w:r>
      <w:r w:rsidR="008C1CE0">
        <w:rPr>
          <w:rFonts w:ascii="Arial" w:hAnsi="Arial" w:cs="Arial"/>
          <w:sz w:val="20"/>
          <w:szCs w:val="20"/>
        </w:rPr>
        <w:t xml:space="preserve">r) and additional signaling tend to </w:t>
      </w:r>
      <w:r w:rsidRPr="00870928">
        <w:rPr>
          <w:rFonts w:ascii="Arial" w:hAnsi="Arial" w:cs="Arial"/>
          <w:sz w:val="20"/>
          <w:szCs w:val="20"/>
        </w:rPr>
        <w:t>exacerbate the load problem further. Carrier priority broadcasts have limited granularity and do not support smooth and dynamic load shifting / balancing for lots of UE in different radio conditions. Carrier broadcasts also don’t allow for UE to compare relative load in cases where all (or most) candidate sector carriers are overloaded. Our interest is for an eNB sector carrier load indication. This load indication may allow UE to proactively compare and select between sector carriers based upon their relative load. The comparisons and selections may be used for camping and reselection decisions between LTE sectors or even when reselecting from GSM / UMTS towards LTE.</w:t>
      </w:r>
    </w:p>
    <w:p w:rsidR="00390691" w:rsidRPr="00275FE1" w:rsidRDefault="00390691" w:rsidP="002E6488">
      <w:pPr>
        <w:spacing w:before="240" w:after="240"/>
        <w:rPr>
          <w:rFonts w:ascii="Arial" w:hAnsi="Arial" w:cs="Arial"/>
          <w:b/>
          <w:sz w:val="24"/>
          <w:szCs w:val="24"/>
        </w:rPr>
      </w:pPr>
      <w:r w:rsidRPr="00275FE1">
        <w:rPr>
          <w:rFonts w:ascii="Arial" w:hAnsi="Arial" w:cs="Arial"/>
          <w:b/>
          <w:sz w:val="24"/>
          <w:szCs w:val="24"/>
        </w:rPr>
        <w:t>DISCUSSION</w:t>
      </w:r>
    </w:p>
    <w:p w:rsidR="006962B0" w:rsidRPr="006962B0" w:rsidRDefault="006962B0" w:rsidP="006962B0">
      <w:pPr>
        <w:rPr>
          <w:rFonts w:ascii="Arial" w:hAnsi="Arial" w:cs="Arial"/>
          <w:sz w:val="20"/>
          <w:szCs w:val="20"/>
        </w:rPr>
      </w:pPr>
      <w:r>
        <w:rPr>
          <w:rFonts w:ascii="Arial" w:hAnsi="Arial" w:cs="Arial"/>
          <w:sz w:val="20"/>
          <w:szCs w:val="20"/>
        </w:rPr>
        <w:t xml:space="preserve">This problem may be solved </w:t>
      </w:r>
      <w:r w:rsidRPr="006962B0">
        <w:rPr>
          <w:rFonts w:ascii="Arial" w:hAnsi="Arial" w:cs="Arial"/>
          <w:sz w:val="20"/>
          <w:szCs w:val="20"/>
        </w:rPr>
        <w:t>with t</w:t>
      </w:r>
      <w:r w:rsidR="002C7687">
        <w:rPr>
          <w:rFonts w:ascii="Arial" w:hAnsi="Arial" w:cs="Arial"/>
          <w:sz w:val="20"/>
          <w:szCs w:val="20"/>
        </w:rPr>
        <w:t>he enhancements brought by R</w:t>
      </w:r>
      <w:r w:rsidRPr="006962B0">
        <w:rPr>
          <w:rFonts w:ascii="Arial" w:hAnsi="Arial" w:cs="Arial"/>
          <w:sz w:val="20"/>
          <w:szCs w:val="20"/>
        </w:rPr>
        <w:t>elease 9 of 3GPP standards. These enhancements will extend the above described mechanism with the following items:</w:t>
      </w:r>
    </w:p>
    <w:p w:rsidR="006962B0" w:rsidRPr="002C7687" w:rsidRDefault="006962B0" w:rsidP="002C7687">
      <w:pPr>
        <w:pStyle w:val="ListParagraph"/>
        <w:numPr>
          <w:ilvl w:val="0"/>
          <w:numId w:val="19"/>
        </w:numPr>
        <w:rPr>
          <w:rFonts w:ascii="Arial" w:hAnsi="Arial" w:cs="Arial"/>
          <w:sz w:val="20"/>
          <w:szCs w:val="20"/>
        </w:rPr>
      </w:pPr>
      <w:r w:rsidRPr="002C7687">
        <w:rPr>
          <w:rFonts w:ascii="Arial" w:hAnsi="Arial" w:cs="Arial"/>
          <w:sz w:val="20"/>
          <w:szCs w:val="20"/>
        </w:rPr>
        <w:t>add the inter-RAT load sharing in addition to intra/inter-frequency,</w:t>
      </w:r>
    </w:p>
    <w:p w:rsidR="006962B0" w:rsidRPr="002C7687" w:rsidRDefault="006962B0" w:rsidP="002C7687">
      <w:pPr>
        <w:pStyle w:val="ListParagraph"/>
        <w:numPr>
          <w:ilvl w:val="0"/>
          <w:numId w:val="19"/>
        </w:numPr>
        <w:rPr>
          <w:rFonts w:ascii="Arial" w:hAnsi="Arial" w:cs="Arial"/>
          <w:sz w:val="20"/>
          <w:szCs w:val="20"/>
        </w:rPr>
      </w:pPr>
      <w:r w:rsidRPr="002C7687">
        <w:rPr>
          <w:rFonts w:ascii="Arial" w:hAnsi="Arial" w:cs="Arial"/>
          <w:sz w:val="20"/>
          <w:szCs w:val="20"/>
        </w:rPr>
        <w:t>refine the performance of algorithms by the new R9 definition of cell load,</w:t>
      </w:r>
    </w:p>
    <w:p w:rsidR="006962B0" w:rsidRDefault="006962B0" w:rsidP="002C7687">
      <w:pPr>
        <w:pStyle w:val="ListParagraph"/>
        <w:numPr>
          <w:ilvl w:val="0"/>
          <w:numId w:val="19"/>
        </w:numPr>
        <w:rPr>
          <w:rFonts w:ascii="Arial" w:hAnsi="Arial" w:cs="Arial"/>
          <w:sz w:val="20"/>
          <w:szCs w:val="20"/>
        </w:rPr>
      </w:pPr>
      <w:r w:rsidRPr="002C7687">
        <w:rPr>
          <w:rFonts w:ascii="Arial" w:hAnsi="Arial" w:cs="Arial"/>
          <w:sz w:val="20"/>
          <w:szCs w:val="20"/>
        </w:rPr>
        <w:t>adjust the cell offset paramete</w:t>
      </w:r>
      <w:r w:rsidR="002C7687" w:rsidRPr="002C7687">
        <w:rPr>
          <w:rFonts w:ascii="Arial" w:hAnsi="Arial" w:cs="Arial"/>
          <w:sz w:val="20"/>
          <w:szCs w:val="20"/>
        </w:rPr>
        <w:t>rs in coordination with neighbo</w:t>
      </w:r>
      <w:r w:rsidRPr="002C7687">
        <w:rPr>
          <w:rFonts w:ascii="Arial" w:hAnsi="Arial" w:cs="Arial"/>
          <w:sz w:val="20"/>
          <w:szCs w:val="20"/>
        </w:rPr>
        <w:t>ring cells.</w:t>
      </w:r>
    </w:p>
    <w:p w:rsidR="00FC333A" w:rsidRPr="006962B0" w:rsidRDefault="00FC333A" w:rsidP="00FC333A">
      <w:pPr>
        <w:rPr>
          <w:rFonts w:ascii="Arial" w:hAnsi="Arial" w:cs="Arial"/>
          <w:sz w:val="20"/>
          <w:szCs w:val="20"/>
        </w:rPr>
      </w:pPr>
    </w:p>
    <w:p w:rsidR="00FC333A" w:rsidRDefault="00FC333A" w:rsidP="00FC333A">
      <w:pPr>
        <w:rPr>
          <w:rFonts w:ascii="Arial" w:hAnsi="Arial" w:cs="Arial"/>
          <w:sz w:val="20"/>
          <w:szCs w:val="20"/>
        </w:rPr>
      </w:pPr>
      <w:r>
        <w:rPr>
          <w:rFonts w:ascii="Arial" w:hAnsi="Arial" w:cs="Arial"/>
          <w:sz w:val="20"/>
          <w:szCs w:val="20"/>
        </w:rPr>
        <w:t xml:space="preserve">A corollary solution would </w:t>
      </w:r>
      <w:r w:rsidRPr="006962B0">
        <w:rPr>
          <w:rFonts w:ascii="Arial" w:hAnsi="Arial" w:cs="Arial"/>
          <w:sz w:val="20"/>
          <w:szCs w:val="20"/>
        </w:rPr>
        <w:t xml:space="preserve">correspond to moving UEs to a lightly loaded “band”. </w:t>
      </w:r>
      <w:r>
        <w:rPr>
          <w:rFonts w:ascii="Arial" w:hAnsi="Arial" w:cs="Arial"/>
          <w:sz w:val="20"/>
          <w:szCs w:val="20"/>
        </w:rPr>
        <w:t>This phase can already be realized with the support of R</w:t>
      </w:r>
      <w:r w:rsidRPr="006962B0">
        <w:rPr>
          <w:rFonts w:ascii="Arial" w:hAnsi="Arial" w:cs="Arial"/>
          <w:sz w:val="20"/>
          <w:szCs w:val="20"/>
        </w:rPr>
        <w:t>el</w:t>
      </w:r>
      <w:r>
        <w:rPr>
          <w:rFonts w:ascii="Arial" w:hAnsi="Arial" w:cs="Arial"/>
          <w:sz w:val="20"/>
          <w:szCs w:val="20"/>
        </w:rPr>
        <w:t>ease 8 3GPP standards. Indeed, R</w:t>
      </w:r>
      <w:r w:rsidRPr="006962B0">
        <w:rPr>
          <w:rFonts w:ascii="Arial" w:hAnsi="Arial" w:cs="Arial"/>
          <w:sz w:val="20"/>
          <w:szCs w:val="20"/>
        </w:rPr>
        <w:t xml:space="preserve">elease 8 already allows </w:t>
      </w:r>
      <w:r>
        <w:rPr>
          <w:rFonts w:ascii="Arial" w:hAnsi="Arial" w:cs="Arial"/>
          <w:sz w:val="20"/>
          <w:szCs w:val="20"/>
        </w:rPr>
        <w:t>the</w:t>
      </w:r>
      <w:r w:rsidRPr="006962B0">
        <w:rPr>
          <w:rFonts w:ascii="Arial" w:hAnsi="Arial" w:cs="Arial"/>
          <w:sz w:val="20"/>
          <w:szCs w:val="20"/>
        </w:rPr>
        <w:t xml:space="preserve"> exchange between eNBs over the X2 interface</w:t>
      </w:r>
      <w:r>
        <w:rPr>
          <w:rFonts w:ascii="Arial" w:hAnsi="Arial" w:cs="Arial"/>
          <w:sz w:val="20"/>
          <w:szCs w:val="20"/>
        </w:rPr>
        <w:t>,</w:t>
      </w:r>
      <w:r w:rsidRPr="006962B0">
        <w:rPr>
          <w:rFonts w:ascii="Arial" w:hAnsi="Arial" w:cs="Arial"/>
          <w:sz w:val="20"/>
          <w:szCs w:val="20"/>
        </w:rPr>
        <w:t xml:space="preserve"> the load of different cells either in intra-frequency or also in the inter-frequency case. Therefore proprietary algorithms can already implement some traffic </w:t>
      </w:r>
      <w:r>
        <w:rPr>
          <w:rFonts w:ascii="Arial" w:hAnsi="Arial" w:cs="Arial"/>
          <w:sz w:val="20"/>
          <w:szCs w:val="20"/>
        </w:rPr>
        <w:t>related</w:t>
      </w:r>
      <w:r w:rsidRPr="006962B0">
        <w:rPr>
          <w:rFonts w:ascii="Arial" w:hAnsi="Arial" w:cs="Arial"/>
          <w:sz w:val="20"/>
          <w:szCs w:val="20"/>
        </w:rPr>
        <w:t xml:space="preserve"> handovers to offload cells when needed</w:t>
      </w:r>
      <w:r>
        <w:rPr>
          <w:rFonts w:ascii="Arial" w:hAnsi="Arial" w:cs="Arial"/>
          <w:sz w:val="20"/>
          <w:szCs w:val="20"/>
        </w:rPr>
        <w:t>,</w:t>
      </w:r>
      <w:r w:rsidRPr="006962B0">
        <w:rPr>
          <w:rFonts w:ascii="Arial" w:hAnsi="Arial" w:cs="Arial"/>
          <w:sz w:val="20"/>
          <w:szCs w:val="20"/>
        </w:rPr>
        <w:t xml:space="preserve"> towards more lightly loaded cells. Those algorithms would additionally typically prevent en masse movement of UEs.</w:t>
      </w:r>
      <w:r>
        <w:rPr>
          <w:rFonts w:ascii="Arial" w:hAnsi="Arial" w:cs="Arial"/>
          <w:sz w:val="20"/>
          <w:szCs w:val="20"/>
        </w:rPr>
        <w:t xml:space="preserve"> </w:t>
      </w:r>
    </w:p>
    <w:p w:rsidR="00FC333A" w:rsidRDefault="00FC333A" w:rsidP="00FC333A">
      <w:pPr>
        <w:pStyle w:val="ListParagraph"/>
        <w:rPr>
          <w:rFonts w:ascii="Arial" w:hAnsi="Arial" w:cs="Arial"/>
          <w:sz w:val="20"/>
          <w:szCs w:val="20"/>
        </w:rPr>
      </w:pPr>
    </w:p>
    <w:p w:rsidR="00C60030" w:rsidRPr="002C7687" w:rsidRDefault="00C60030" w:rsidP="00FC333A">
      <w:pPr>
        <w:pStyle w:val="ListParagraph"/>
        <w:rPr>
          <w:rFonts w:ascii="Arial" w:hAnsi="Arial" w:cs="Arial"/>
          <w:sz w:val="20"/>
          <w:szCs w:val="20"/>
        </w:rPr>
      </w:pPr>
    </w:p>
    <w:p w:rsidR="00275FE1" w:rsidRDefault="00005F0E" w:rsidP="002E6488">
      <w:pPr>
        <w:rPr>
          <w:rFonts w:ascii="Arial" w:hAnsi="Arial" w:cs="Arial"/>
          <w:sz w:val="20"/>
          <w:szCs w:val="20"/>
        </w:rPr>
      </w:pPr>
      <w:r>
        <w:rPr>
          <w:rFonts w:ascii="Arial" w:hAnsi="Arial" w:cs="Arial"/>
          <w:sz w:val="20"/>
          <w:szCs w:val="20"/>
        </w:rPr>
        <w:lastRenderedPageBreak/>
        <w:t xml:space="preserve">A </w:t>
      </w:r>
      <w:r w:rsidR="00A85202">
        <w:rPr>
          <w:rFonts w:ascii="Arial" w:hAnsi="Arial" w:cs="Arial"/>
          <w:sz w:val="20"/>
          <w:szCs w:val="20"/>
        </w:rPr>
        <w:t>companion solution</w:t>
      </w:r>
      <w:r w:rsidR="002C7687">
        <w:rPr>
          <w:rFonts w:ascii="Arial" w:hAnsi="Arial" w:cs="Arial"/>
          <w:sz w:val="20"/>
          <w:szCs w:val="20"/>
        </w:rPr>
        <w:t>, based on VoIP codec adaptation</w:t>
      </w:r>
      <w:r w:rsidR="0007558C">
        <w:rPr>
          <w:rFonts w:ascii="Arial" w:hAnsi="Arial" w:cs="Arial"/>
          <w:sz w:val="20"/>
          <w:szCs w:val="20"/>
        </w:rPr>
        <w:t xml:space="preserve"> (described in a document</w:t>
      </w:r>
      <w:r w:rsidR="00C60030">
        <w:rPr>
          <w:rFonts w:ascii="Arial" w:hAnsi="Arial" w:cs="Arial"/>
          <w:sz w:val="20"/>
          <w:szCs w:val="20"/>
        </w:rPr>
        <w:t xml:space="preserve"> </w:t>
      </w:r>
      <w:r w:rsidR="00C60030" w:rsidRPr="00C60030">
        <w:rPr>
          <w:rFonts w:ascii="Arial" w:hAnsi="Arial" w:cs="Arial"/>
          <w:sz w:val="20"/>
          <w:szCs w:val="20"/>
        </w:rPr>
        <w:t>RP-090608</w:t>
      </w:r>
      <w:r w:rsidR="0007558C">
        <w:rPr>
          <w:rFonts w:ascii="Arial" w:hAnsi="Arial" w:cs="Arial"/>
          <w:sz w:val="20"/>
          <w:szCs w:val="20"/>
        </w:rPr>
        <w:t>)</w:t>
      </w:r>
      <w:r w:rsidR="006962B0" w:rsidRPr="006962B0">
        <w:rPr>
          <w:rFonts w:ascii="Arial" w:hAnsi="Arial" w:cs="Arial"/>
          <w:sz w:val="20"/>
          <w:szCs w:val="20"/>
        </w:rPr>
        <w:t>, whereby a change of codec rate c</w:t>
      </w:r>
      <w:r w:rsidR="0007558C">
        <w:rPr>
          <w:rFonts w:ascii="Arial" w:hAnsi="Arial" w:cs="Arial"/>
          <w:sz w:val="20"/>
          <w:szCs w:val="20"/>
        </w:rPr>
        <w:t xml:space="preserve">ould </w:t>
      </w:r>
      <w:r w:rsidR="00C60030">
        <w:rPr>
          <w:rFonts w:ascii="Arial" w:hAnsi="Arial" w:cs="Arial"/>
          <w:sz w:val="20"/>
          <w:szCs w:val="20"/>
        </w:rPr>
        <w:t>be negotiated for the UEs, based on</w:t>
      </w:r>
      <w:r w:rsidR="00EC3010">
        <w:rPr>
          <w:rFonts w:ascii="Arial" w:hAnsi="Arial" w:cs="Arial"/>
          <w:sz w:val="20"/>
          <w:szCs w:val="20"/>
        </w:rPr>
        <w:t xml:space="preserve"> radio</w:t>
      </w:r>
      <w:r w:rsidR="00C60030">
        <w:rPr>
          <w:rFonts w:ascii="Arial" w:hAnsi="Arial" w:cs="Arial"/>
          <w:sz w:val="20"/>
          <w:szCs w:val="20"/>
        </w:rPr>
        <w:t xml:space="preserve"> load indications.</w:t>
      </w:r>
    </w:p>
    <w:p w:rsidR="000A1777" w:rsidRDefault="000A1777" w:rsidP="002E6488">
      <w:pPr>
        <w:rPr>
          <w:rFonts w:ascii="Arial" w:hAnsi="Arial" w:cs="Arial"/>
          <w:sz w:val="20"/>
          <w:szCs w:val="20"/>
        </w:rPr>
      </w:pPr>
    </w:p>
    <w:p w:rsidR="009D77A1" w:rsidRDefault="000A1777" w:rsidP="002E6488">
      <w:pPr>
        <w:rPr>
          <w:rFonts w:ascii="Arial" w:hAnsi="Arial" w:cs="Arial"/>
          <w:sz w:val="20"/>
          <w:szCs w:val="20"/>
        </w:rPr>
      </w:pPr>
      <w:r>
        <w:rPr>
          <w:rFonts w:ascii="Arial" w:hAnsi="Arial" w:cs="Arial"/>
          <w:sz w:val="20"/>
          <w:szCs w:val="20"/>
        </w:rPr>
        <w:t>Some of the</w:t>
      </w:r>
      <w:r w:rsidRPr="000A1777">
        <w:rPr>
          <w:rFonts w:ascii="Arial" w:hAnsi="Arial" w:cs="Arial"/>
          <w:sz w:val="20"/>
          <w:szCs w:val="20"/>
        </w:rPr>
        <w:t xml:space="preserve"> inputs to load calculation (for the broadcast load indicator) may be implementation specific. For example the load indication could be based upon traditional radio-specific items like PRB utilization and uplink noise, but could also be influenced by non-radio load factors like S1-U transport loading. This is an important item to consider: since transport loading was not addressed by UMTS Ec/Io before:</w:t>
      </w:r>
      <w:r w:rsidR="00C1549D">
        <w:rPr>
          <w:rFonts w:ascii="Arial" w:hAnsi="Arial" w:cs="Arial"/>
          <w:sz w:val="20"/>
          <w:szCs w:val="20"/>
        </w:rPr>
        <w:t xml:space="preserve"> which forms the</w:t>
      </w:r>
      <w:r w:rsidRPr="000A1777">
        <w:rPr>
          <w:rFonts w:ascii="Arial" w:hAnsi="Arial" w:cs="Arial"/>
          <w:sz w:val="20"/>
          <w:szCs w:val="20"/>
        </w:rPr>
        <w:t xml:space="preserve"> baseline for </w:t>
      </w:r>
      <w:r w:rsidR="00C1549D">
        <w:rPr>
          <w:rFonts w:ascii="Arial" w:hAnsi="Arial" w:cs="Arial"/>
          <w:sz w:val="20"/>
          <w:szCs w:val="20"/>
        </w:rPr>
        <w:t xml:space="preserve">another </w:t>
      </w:r>
      <w:r w:rsidRPr="000A1777">
        <w:rPr>
          <w:rFonts w:ascii="Arial" w:hAnsi="Arial" w:cs="Arial"/>
          <w:sz w:val="20"/>
          <w:szCs w:val="20"/>
        </w:rPr>
        <w:t>proposed RSRQ behavior.</w:t>
      </w:r>
    </w:p>
    <w:p w:rsidR="000A1777" w:rsidRDefault="000A1777" w:rsidP="002E6488">
      <w:pPr>
        <w:rPr>
          <w:rFonts w:ascii="Arial" w:hAnsi="Arial" w:cs="Arial"/>
          <w:sz w:val="20"/>
          <w:szCs w:val="20"/>
        </w:rPr>
      </w:pPr>
    </w:p>
    <w:p w:rsidR="009D77A1" w:rsidRDefault="00C1549D" w:rsidP="002E6488">
      <w:pPr>
        <w:rPr>
          <w:rFonts w:ascii="Arial" w:hAnsi="Arial" w:cs="Arial"/>
          <w:sz w:val="20"/>
          <w:szCs w:val="20"/>
        </w:rPr>
      </w:pPr>
      <w:r>
        <w:rPr>
          <w:rFonts w:ascii="Arial" w:hAnsi="Arial" w:cs="Arial"/>
          <w:sz w:val="20"/>
          <w:szCs w:val="20"/>
        </w:rPr>
        <w:t>C</w:t>
      </w:r>
      <w:r w:rsidR="009D77A1">
        <w:rPr>
          <w:rFonts w:ascii="Arial" w:hAnsi="Arial" w:cs="Arial"/>
          <w:sz w:val="20"/>
          <w:szCs w:val="20"/>
        </w:rPr>
        <w:t xml:space="preserve">onsideration of an already proposed mechanism in </w:t>
      </w:r>
      <w:r w:rsidR="009D77A1" w:rsidRPr="009D77A1">
        <w:rPr>
          <w:rFonts w:ascii="Arial" w:hAnsi="Arial" w:cs="Arial"/>
          <w:sz w:val="20"/>
          <w:szCs w:val="20"/>
        </w:rPr>
        <w:t>R4-091895</w:t>
      </w:r>
      <w:r w:rsidR="009D77A1">
        <w:rPr>
          <w:rFonts w:ascii="Arial" w:hAnsi="Arial" w:cs="Arial"/>
          <w:sz w:val="20"/>
          <w:szCs w:val="20"/>
        </w:rPr>
        <w:t xml:space="preserve"> “</w:t>
      </w:r>
      <w:r w:rsidR="009D77A1" w:rsidRPr="009D77A1">
        <w:rPr>
          <w:rFonts w:ascii="Arial" w:hAnsi="Arial" w:cs="Arial"/>
          <w:sz w:val="20"/>
          <w:szCs w:val="20"/>
        </w:rPr>
        <w:t>RSRQ measurement requirement in idle mode</w:t>
      </w:r>
      <w:r w:rsidR="009D77A1">
        <w:rPr>
          <w:rFonts w:ascii="Arial" w:hAnsi="Arial" w:cs="Arial"/>
          <w:sz w:val="20"/>
          <w:szCs w:val="20"/>
        </w:rPr>
        <w:t xml:space="preserve">”, where the </w:t>
      </w:r>
      <w:r w:rsidR="009D77A1" w:rsidRPr="009D77A1">
        <w:rPr>
          <w:rFonts w:ascii="Arial" w:hAnsi="Arial" w:cs="Arial"/>
          <w:sz w:val="20"/>
          <w:szCs w:val="20"/>
        </w:rPr>
        <w:t xml:space="preserve">use </w:t>
      </w:r>
      <w:r w:rsidR="009D77A1">
        <w:rPr>
          <w:rFonts w:ascii="Arial" w:hAnsi="Arial" w:cs="Arial"/>
          <w:sz w:val="20"/>
          <w:szCs w:val="20"/>
        </w:rPr>
        <w:t xml:space="preserve">of </w:t>
      </w:r>
      <w:r w:rsidR="009D77A1" w:rsidRPr="009D77A1">
        <w:rPr>
          <w:rFonts w:ascii="Arial" w:hAnsi="Arial" w:cs="Arial"/>
          <w:sz w:val="20"/>
          <w:szCs w:val="20"/>
        </w:rPr>
        <w:t>RSRQ as an additional metric for idle state cell reselection, could effectively trigger all poor coverage MUE in idle state to perform inter-frequency reselection.</w:t>
      </w:r>
      <w:r w:rsidR="004F7D8C">
        <w:rPr>
          <w:rFonts w:ascii="Arial" w:hAnsi="Arial" w:cs="Arial"/>
          <w:sz w:val="20"/>
          <w:szCs w:val="20"/>
        </w:rPr>
        <w:t xml:space="preserve"> </w:t>
      </w:r>
    </w:p>
    <w:p w:rsidR="00005F0E" w:rsidRDefault="00005F0E" w:rsidP="002E6488">
      <w:pPr>
        <w:rPr>
          <w:rFonts w:ascii="Arial" w:hAnsi="Arial" w:cs="Arial"/>
          <w:sz w:val="20"/>
          <w:szCs w:val="20"/>
        </w:rPr>
      </w:pPr>
    </w:p>
    <w:p w:rsidR="00005F0E" w:rsidRPr="007176C0" w:rsidRDefault="00005F0E" w:rsidP="002E6488">
      <w:pPr>
        <w:rPr>
          <w:rFonts w:ascii="Arial" w:hAnsi="Arial" w:cs="Arial"/>
          <w:sz w:val="20"/>
          <w:szCs w:val="20"/>
        </w:rPr>
      </w:pPr>
      <w:r>
        <w:rPr>
          <w:rFonts w:ascii="Arial" w:hAnsi="Arial" w:cs="Arial"/>
          <w:sz w:val="20"/>
          <w:szCs w:val="20"/>
        </w:rPr>
        <w:t>Lastly, this should also be considered in the scope of TR 36.902 “</w:t>
      </w:r>
      <w:r w:rsidRPr="00005F0E">
        <w:rPr>
          <w:rFonts w:ascii="Arial" w:hAnsi="Arial" w:cs="Arial"/>
          <w:sz w:val="20"/>
          <w:szCs w:val="20"/>
        </w:rPr>
        <w:t>Self-configuring and self-optimizing network use cases and solutions"</w:t>
      </w:r>
      <w:r>
        <w:rPr>
          <w:rFonts w:ascii="Arial" w:hAnsi="Arial" w:cs="Arial"/>
          <w:sz w:val="20"/>
          <w:szCs w:val="20"/>
        </w:rPr>
        <w:t>, a.k.a SON.</w:t>
      </w:r>
    </w:p>
    <w:p w:rsidR="00390691" w:rsidRPr="0040291B" w:rsidRDefault="00390691" w:rsidP="002E6488">
      <w:pPr>
        <w:spacing w:before="240" w:after="240"/>
        <w:rPr>
          <w:rFonts w:ascii="Arial" w:hAnsi="Arial" w:cs="Arial"/>
          <w:b/>
          <w:sz w:val="24"/>
          <w:szCs w:val="24"/>
        </w:rPr>
      </w:pPr>
      <w:r w:rsidRPr="0040291B">
        <w:rPr>
          <w:rFonts w:ascii="Arial" w:hAnsi="Arial" w:cs="Arial"/>
          <w:b/>
          <w:sz w:val="24"/>
          <w:szCs w:val="24"/>
        </w:rPr>
        <w:t>PR</w:t>
      </w:r>
      <w:r w:rsidR="002C5D32" w:rsidRPr="0040291B">
        <w:rPr>
          <w:rFonts w:ascii="Arial" w:hAnsi="Arial" w:cs="Arial"/>
          <w:b/>
          <w:sz w:val="24"/>
          <w:szCs w:val="24"/>
        </w:rPr>
        <w:t>O</w:t>
      </w:r>
      <w:r w:rsidRPr="0040291B">
        <w:rPr>
          <w:rFonts w:ascii="Arial" w:hAnsi="Arial" w:cs="Arial"/>
          <w:b/>
          <w:sz w:val="24"/>
          <w:szCs w:val="24"/>
        </w:rPr>
        <w:t>POSAL</w:t>
      </w:r>
    </w:p>
    <w:p w:rsidR="009D77A1" w:rsidRPr="009D77A1" w:rsidRDefault="001C5465" w:rsidP="009D77A1">
      <w:pPr>
        <w:rPr>
          <w:rFonts w:ascii="Arial" w:hAnsi="Arial" w:cs="Arial"/>
          <w:sz w:val="20"/>
          <w:szCs w:val="20"/>
        </w:rPr>
      </w:pPr>
      <w:r w:rsidRPr="007176C0">
        <w:rPr>
          <w:rFonts w:ascii="Arial" w:hAnsi="Arial" w:cs="Arial"/>
          <w:sz w:val="20"/>
          <w:szCs w:val="20"/>
        </w:rPr>
        <w:t>T</w:t>
      </w:r>
      <w:r w:rsidR="00013E2B" w:rsidRPr="007176C0">
        <w:rPr>
          <w:rFonts w:ascii="Arial" w:hAnsi="Arial" w:cs="Arial"/>
          <w:sz w:val="20"/>
          <w:szCs w:val="20"/>
        </w:rPr>
        <w:t xml:space="preserve">he specific goals are to </w:t>
      </w:r>
      <w:r w:rsidR="004F7D8C">
        <w:rPr>
          <w:rFonts w:ascii="Arial" w:hAnsi="Arial" w:cs="Arial"/>
          <w:sz w:val="20"/>
          <w:szCs w:val="20"/>
        </w:rPr>
        <w:t>make</w:t>
      </w:r>
      <w:r w:rsidR="00013E2B" w:rsidRPr="007176C0">
        <w:rPr>
          <w:rFonts w:ascii="Arial" w:hAnsi="Arial" w:cs="Arial"/>
          <w:sz w:val="20"/>
          <w:szCs w:val="20"/>
        </w:rPr>
        <w:t xml:space="preserve"> </w:t>
      </w:r>
      <w:r w:rsidR="009D77A1" w:rsidRPr="009D77A1">
        <w:rPr>
          <w:rFonts w:ascii="Arial" w:hAnsi="Arial" w:cs="Arial"/>
          <w:sz w:val="20"/>
          <w:szCs w:val="20"/>
        </w:rPr>
        <w:t>eNB sector carriers more or less attractive for initial carrier selection or incoming reselection by idle mode UE: this method precludes the need for UE or call-specific messages and associated signaling load. AT&amp;T</w:t>
      </w:r>
      <w:r w:rsidR="00B372C0">
        <w:rPr>
          <w:rFonts w:ascii="Arial" w:hAnsi="Arial" w:cs="Arial"/>
          <w:sz w:val="20"/>
          <w:szCs w:val="20"/>
        </w:rPr>
        <w:t>’s</w:t>
      </w:r>
      <w:r w:rsidR="009D77A1" w:rsidRPr="009D77A1">
        <w:rPr>
          <w:rFonts w:ascii="Arial" w:hAnsi="Arial" w:cs="Arial"/>
          <w:sz w:val="20"/>
          <w:szCs w:val="20"/>
        </w:rPr>
        <w:t xml:space="preserve"> interest in this feature is due to situations where eNB sector carriers with the best coverage (</w:t>
      </w:r>
      <w:r w:rsidR="00883DBB" w:rsidRPr="009D77A1">
        <w:rPr>
          <w:rFonts w:ascii="Arial" w:hAnsi="Arial" w:cs="Arial"/>
          <w:sz w:val="20"/>
          <w:szCs w:val="20"/>
        </w:rPr>
        <w:t>700 MHz</w:t>
      </w:r>
      <w:r w:rsidR="009D77A1" w:rsidRPr="009D77A1">
        <w:rPr>
          <w:rFonts w:ascii="Arial" w:hAnsi="Arial" w:cs="Arial"/>
          <w:sz w:val="20"/>
          <w:szCs w:val="20"/>
        </w:rPr>
        <w:t xml:space="preserve">) have much less spectrum and capacity than sectors carriers with worse coverage (AWS). </w:t>
      </w:r>
      <w:r w:rsidR="007B63E6">
        <w:rPr>
          <w:rFonts w:ascii="Arial" w:hAnsi="Arial" w:cs="Arial"/>
          <w:sz w:val="20"/>
          <w:szCs w:val="20"/>
        </w:rPr>
        <w:t>Other operators with similar spectrum situations may also find this necessary and useful</w:t>
      </w:r>
      <w:r w:rsidR="0099002D">
        <w:rPr>
          <w:rFonts w:ascii="Arial" w:hAnsi="Arial" w:cs="Arial"/>
          <w:sz w:val="20"/>
          <w:szCs w:val="20"/>
        </w:rPr>
        <w:t>, as they begin to deploy LTE.</w:t>
      </w:r>
      <w:r w:rsidR="00D45953">
        <w:rPr>
          <w:rFonts w:ascii="Arial" w:hAnsi="Arial" w:cs="Arial"/>
          <w:sz w:val="20"/>
          <w:szCs w:val="20"/>
        </w:rPr>
        <w:t xml:space="preserve"> </w:t>
      </w:r>
    </w:p>
    <w:p w:rsidR="00445277" w:rsidRDefault="00445277" w:rsidP="002E6488">
      <w:pPr>
        <w:rPr>
          <w:rFonts w:ascii="Arial" w:hAnsi="Arial" w:cs="Arial"/>
          <w:sz w:val="20"/>
          <w:szCs w:val="20"/>
        </w:rPr>
      </w:pPr>
    </w:p>
    <w:p w:rsidR="007B63E6" w:rsidRPr="007176C0" w:rsidRDefault="007176C0" w:rsidP="007B63E6">
      <w:pPr>
        <w:rPr>
          <w:rFonts w:ascii="Arial" w:hAnsi="Arial" w:cs="Arial"/>
          <w:sz w:val="20"/>
          <w:szCs w:val="20"/>
        </w:rPr>
      </w:pPr>
      <w:r w:rsidRPr="007176C0">
        <w:rPr>
          <w:rFonts w:ascii="Arial" w:hAnsi="Arial" w:cs="Arial"/>
          <w:sz w:val="20"/>
          <w:szCs w:val="20"/>
        </w:rPr>
        <w:t>It is essential to have this functionality availab</w:t>
      </w:r>
      <w:r w:rsidR="009D77A1">
        <w:rPr>
          <w:rFonts w:ascii="Arial" w:hAnsi="Arial" w:cs="Arial"/>
          <w:sz w:val="20"/>
          <w:szCs w:val="20"/>
        </w:rPr>
        <w:t>le as early as possible (Rel-9).</w:t>
      </w:r>
      <w:r w:rsidR="007B63E6">
        <w:rPr>
          <w:rFonts w:ascii="Arial" w:hAnsi="Arial" w:cs="Arial"/>
          <w:sz w:val="20"/>
          <w:szCs w:val="20"/>
        </w:rPr>
        <w:t xml:space="preserve"> </w:t>
      </w:r>
      <w:r w:rsidR="007B63E6" w:rsidRPr="007176C0">
        <w:rPr>
          <w:rFonts w:ascii="Arial" w:hAnsi="Arial" w:cs="Arial"/>
          <w:sz w:val="20"/>
          <w:szCs w:val="20"/>
        </w:rPr>
        <w:t xml:space="preserve">It is proposed that RAN and the relevant WGs specify, within Release 9, radio-related enhancements to enable </w:t>
      </w:r>
      <w:r w:rsidR="007B63E6" w:rsidRPr="009D77A1">
        <w:rPr>
          <w:rFonts w:ascii="Arial" w:hAnsi="Arial" w:cs="Arial"/>
          <w:sz w:val="20"/>
          <w:szCs w:val="20"/>
        </w:rPr>
        <w:t xml:space="preserve">Inter-carrier load balancing </w:t>
      </w:r>
      <w:r w:rsidR="007B63E6" w:rsidRPr="007176C0">
        <w:rPr>
          <w:rFonts w:ascii="Arial" w:hAnsi="Arial" w:cs="Arial"/>
          <w:sz w:val="20"/>
          <w:szCs w:val="20"/>
        </w:rPr>
        <w:t>over EUTRA.</w:t>
      </w:r>
      <w:r w:rsidR="007B63E6">
        <w:rPr>
          <w:rFonts w:ascii="Arial" w:hAnsi="Arial" w:cs="Arial"/>
          <w:sz w:val="20"/>
          <w:szCs w:val="20"/>
        </w:rPr>
        <w:t xml:space="preserve"> </w:t>
      </w:r>
    </w:p>
    <w:p w:rsidR="000E6A40" w:rsidRPr="002E6488" w:rsidRDefault="000E6A40" w:rsidP="002E6488">
      <w:pPr>
        <w:rPr>
          <w:rFonts w:ascii="Arial" w:hAnsi="Arial" w:cs="Arial"/>
          <w:sz w:val="20"/>
          <w:szCs w:val="20"/>
        </w:rPr>
      </w:pPr>
    </w:p>
    <w:sectPr w:rsidR="000E6A40" w:rsidRPr="002E6488" w:rsidSect="000111FE">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23D" w:rsidRDefault="00CF123D" w:rsidP="00F45B7A">
      <w:r>
        <w:separator/>
      </w:r>
    </w:p>
  </w:endnote>
  <w:endnote w:type="continuationSeparator" w:id="1">
    <w:p w:rsidR="00CF123D" w:rsidRDefault="00CF123D" w:rsidP="00F45B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sz w:val="16"/>
        <w:szCs w:val="16"/>
      </w:rPr>
      <w:id w:val="22815094"/>
      <w:docPartObj>
        <w:docPartGallery w:val="Page Numbers (Bottom of Page)"/>
        <w:docPartUnique/>
      </w:docPartObj>
    </w:sdtPr>
    <w:sdtContent>
      <w:sdt>
        <w:sdtPr>
          <w:rPr>
            <w:rFonts w:ascii="Verdana" w:hAnsi="Verdana"/>
            <w:sz w:val="16"/>
            <w:szCs w:val="16"/>
          </w:rPr>
          <w:id w:val="565050477"/>
          <w:docPartObj>
            <w:docPartGallery w:val="Page Numbers (Top of Page)"/>
            <w:docPartUnique/>
          </w:docPartObj>
        </w:sdtPr>
        <w:sdtContent>
          <w:p w:rsidR="00F45B7A" w:rsidRPr="00F45B7A" w:rsidRDefault="00F45B7A">
            <w:pPr>
              <w:pStyle w:val="Footer"/>
              <w:jc w:val="center"/>
              <w:rPr>
                <w:rFonts w:ascii="Verdana" w:hAnsi="Verdana"/>
                <w:sz w:val="16"/>
                <w:szCs w:val="16"/>
              </w:rPr>
            </w:pPr>
            <w:r w:rsidRPr="00F45B7A">
              <w:rPr>
                <w:rFonts w:ascii="Verdana" w:hAnsi="Verdana"/>
                <w:sz w:val="16"/>
                <w:szCs w:val="16"/>
              </w:rPr>
              <w:t xml:space="preserve">Page </w:t>
            </w:r>
            <w:r w:rsidR="00D94E90" w:rsidRPr="00F45B7A">
              <w:rPr>
                <w:rFonts w:ascii="Verdana" w:hAnsi="Verdana"/>
                <w:sz w:val="16"/>
                <w:szCs w:val="16"/>
              </w:rPr>
              <w:fldChar w:fldCharType="begin"/>
            </w:r>
            <w:r w:rsidRPr="00F45B7A">
              <w:rPr>
                <w:rFonts w:ascii="Verdana" w:hAnsi="Verdana"/>
                <w:sz w:val="16"/>
                <w:szCs w:val="16"/>
              </w:rPr>
              <w:instrText xml:space="preserve"> PAGE </w:instrText>
            </w:r>
            <w:r w:rsidR="00D94E90" w:rsidRPr="00F45B7A">
              <w:rPr>
                <w:rFonts w:ascii="Verdana" w:hAnsi="Verdana"/>
                <w:sz w:val="16"/>
                <w:szCs w:val="16"/>
              </w:rPr>
              <w:fldChar w:fldCharType="separate"/>
            </w:r>
            <w:r w:rsidR="00EC3010">
              <w:rPr>
                <w:rFonts w:ascii="Verdana" w:hAnsi="Verdana"/>
                <w:noProof/>
                <w:sz w:val="16"/>
                <w:szCs w:val="16"/>
              </w:rPr>
              <w:t>2</w:t>
            </w:r>
            <w:r w:rsidR="00D94E90" w:rsidRPr="00F45B7A">
              <w:rPr>
                <w:rFonts w:ascii="Verdana" w:hAnsi="Verdana"/>
                <w:sz w:val="16"/>
                <w:szCs w:val="16"/>
              </w:rPr>
              <w:fldChar w:fldCharType="end"/>
            </w:r>
            <w:r w:rsidRPr="00F45B7A">
              <w:rPr>
                <w:rFonts w:ascii="Verdana" w:hAnsi="Verdana"/>
                <w:sz w:val="16"/>
                <w:szCs w:val="16"/>
              </w:rPr>
              <w:t xml:space="preserve"> of </w:t>
            </w:r>
            <w:r w:rsidR="00D94E90" w:rsidRPr="00F45B7A">
              <w:rPr>
                <w:rFonts w:ascii="Verdana" w:hAnsi="Verdana"/>
                <w:sz w:val="16"/>
                <w:szCs w:val="16"/>
              </w:rPr>
              <w:fldChar w:fldCharType="begin"/>
            </w:r>
            <w:r w:rsidRPr="00F45B7A">
              <w:rPr>
                <w:rFonts w:ascii="Verdana" w:hAnsi="Verdana"/>
                <w:sz w:val="16"/>
                <w:szCs w:val="16"/>
              </w:rPr>
              <w:instrText xml:space="preserve"> NUMPAGES  </w:instrText>
            </w:r>
            <w:r w:rsidR="00D94E90" w:rsidRPr="00F45B7A">
              <w:rPr>
                <w:rFonts w:ascii="Verdana" w:hAnsi="Verdana"/>
                <w:sz w:val="16"/>
                <w:szCs w:val="16"/>
              </w:rPr>
              <w:fldChar w:fldCharType="separate"/>
            </w:r>
            <w:r w:rsidR="00EC3010">
              <w:rPr>
                <w:rFonts w:ascii="Verdana" w:hAnsi="Verdana"/>
                <w:noProof/>
                <w:sz w:val="16"/>
                <w:szCs w:val="16"/>
              </w:rPr>
              <w:t>2</w:t>
            </w:r>
            <w:r w:rsidR="00D94E90" w:rsidRPr="00F45B7A">
              <w:rPr>
                <w:rFonts w:ascii="Verdana" w:hAnsi="Verdana"/>
                <w:sz w:val="16"/>
                <w:szCs w:val="16"/>
              </w:rPr>
              <w:fldChar w:fldCharType="end"/>
            </w:r>
          </w:p>
        </w:sdtContent>
      </w:sdt>
    </w:sdtContent>
  </w:sdt>
  <w:p w:rsidR="00F45B7A" w:rsidRDefault="00F45B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23D" w:rsidRDefault="00CF123D" w:rsidP="00F45B7A">
      <w:r>
        <w:separator/>
      </w:r>
    </w:p>
  </w:footnote>
  <w:footnote w:type="continuationSeparator" w:id="1">
    <w:p w:rsidR="00CF123D" w:rsidRDefault="00CF123D" w:rsidP="00F45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E50"/>
    <w:multiLevelType w:val="hybridMultilevel"/>
    <w:tmpl w:val="4208A8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B875B7D"/>
    <w:multiLevelType w:val="hybridMultilevel"/>
    <w:tmpl w:val="2EC23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nsid w:val="33C84EEB"/>
    <w:multiLevelType w:val="hybridMultilevel"/>
    <w:tmpl w:val="88CA0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nsid w:val="585F014E"/>
    <w:multiLevelType w:val="hybridMultilevel"/>
    <w:tmpl w:val="85162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B0625B2"/>
    <w:multiLevelType w:val="hybridMultilevel"/>
    <w:tmpl w:val="BFFEF3DE"/>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262CAE"/>
    <w:multiLevelType w:val="hybridMultilevel"/>
    <w:tmpl w:val="885CBADC"/>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num>
  <w:num w:numId="3">
    <w:abstractNumId w:val="14"/>
  </w:num>
  <w:num w:numId="4">
    <w:abstractNumId w:val="7"/>
  </w:num>
  <w:num w:numId="5">
    <w:abstractNumId w:val="10"/>
  </w:num>
  <w:num w:numId="6">
    <w:abstractNumId w:val="6"/>
  </w:num>
  <w:num w:numId="7">
    <w:abstractNumId w:val="12"/>
  </w:num>
  <w:num w:numId="8">
    <w:abstractNumId w:val="13"/>
  </w:num>
  <w:num w:numId="9">
    <w:abstractNumId w:val="15"/>
  </w:num>
  <w:num w:numId="10">
    <w:abstractNumId w:val="9"/>
  </w:num>
  <w:num w:numId="11">
    <w:abstractNumId w:val="8"/>
  </w:num>
  <w:num w:numId="12">
    <w:abstractNumId w:val="1"/>
  </w:num>
  <w:num w:numId="13">
    <w:abstractNumId w:val="3"/>
  </w:num>
  <w:num w:numId="14">
    <w:abstractNumId w:val="5"/>
  </w:num>
  <w:num w:numId="15">
    <w:abstractNumId w:val="17"/>
  </w:num>
  <w:num w:numId="16">
    <w:abstractNumId w:val="0"/>
  </w:num>
  <w:num w:numId="17">
    <w:abstractNumId w:val="16"/>
  </w:num>
  <w:num w:numId="18">
    <w:abstractNumId w:val="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bordersDoNotSurroundHeader/>
  <w:bordersDoNotSurroundFooter/>
  <w:stylePaneFormatFilter w:val="3F01"/>
  <w:defaultTabStop w:val="84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useFELayout/>
  </w:compat>
  <w:rsids>
    <w:rsidRoot w:val="00C539C7"/>
    <w:rsid w:val="000036E5"/>
    <w:rsid w:val="00005F0E"/>
    <w:rsid w:val="000111FE"/>
    <w:rsid w:val="00013E2B"/>
    <w:rsid w:val="000153B1"/>
    <w:rsid w:val="00016C9C"/>
    <w:rsid w:val="00023E41"/>
    <w:rsid w:val="00025CD5"/>
    <w:rsid w:val="00027038"/>
    <w:rsid w:val="0003777E"/>
    <w:rsid w:val="00040D62"/>
    <w:rsid w:val="0004504F"/>
    <w:rsid w:val="0004642F"/>
    <w:rsid w:val="0005265B"/>
    <w:rsid w:val="00056A79"/>
    <w:rsid w:val="000609F3"/>
    <w:rsid w:val="00061F4B"/>
    <w:rsid w:val="00063986"/>
    <w:rsid w:val="00064B4F"/>
    <w:rsid w:val="00074371"/>
    <w:rsid w:val="0007558C"/>
    <w:rsid w:val="00077F14"/>
    <w:rsid w:val="00082CCF"/>
    <w:rsid w:val="00091AAD"/>
    <w:rsid w:val="000A1777"/>
    <w:rsid w:val="000B1395"/>
    <w:rsid w:val="000C1415"/>
    <w:rsid w:val="000D1105"/>
    <w:rsid w:val="000D6684"/>
    <w:rsid w:val="000E59B2"/>
    <w:rsid w:val="000E6A40"/>
    <w:rsid w:val="000F5285"/>
    <w:rsid w:val="00111161"/>
    <w:rsid w:val="00113047"/>
    <w:rsid w:val="00113D7B"/>
    <w:rsid w:val="001173E1"/>
    <w:rsid w:val="0012239D"/>
    <w:rsid w:val="001227EC"/>
    <w:rsid w:val="00124C44"/>
    <w:rsid w:val="001265BF"/>
    <w:rsid w:val="0013021E"/>
    <w:rsid w:val="00137BBD"/>
    <w:rsid w:val="00142154"/>
    <w:rsid w:val="00155742"/>
    <w:rsid w:val="001634CD"/>
    <w:rsid w:val="00180EC6"/>
    <w:rsid w:val="001A6EFA"/>
    <w:rsid w:val="001C5465"/>
    <w:rsid w:val="001C5A71"/>
    <w:rsid w:val="001D2F35"/>
    <w:rsid w:val="001D4075"/>
    <w:rsid w:val="001E3C47"/>
    <w:rsid w:val="001E5E75"/>
    <w:rsid w:val="00200D76"/>
    <w:rsid w:val="002013AB"/>
    <w:rsid w:val="002048CE"/>
    <w:rsid w:val="0021395B"/>
    <w:rsid w:val="00216143"/>
    <w:rsid w:val="002176CF"/>
    <w:rsid w:val="002204DF"/>
    <w:rsid w:val="00222640"/>
    <w:rsid w:val="002449B2"/>
    <w:rsid w:val="00254F3E"/>
    <w:rsid w:val="00265EAF"/>
    <w:rsid w:val="00274892"/>
    <w:rsid w:val="00275FE1"/>
    <w:rsid w:val="00276DB8"/>
    <w:rsid w:val="002772A8"/>
    <w:rsid w:val="00296D15"/>
    <w:rsid w:val="002A4C64"/>
    <w:rsid w:val="002B0EAD"/>
    <w:rsid w:val="002C5170"/>
    <w:rsid w:val="002C5D32"/>
    <w:rsid w:val="002C7687"/>
    <w:rsid w:val="002D2E98"/>
    <w:rsid w:val="002D3F13"/>
    <w:rsid w:val="002E0EB6"/>
    <w:rsid w:val="002E6488"/>
    <w:rsid w:val="003040E8"/>
    <w:rsid w:val="00311A8C"/>
    <w:rsid w:val="00313DFD"/>
    <w:rsid w:val="0034157F"/>
    <w:rsid w:val="003415CE"/>
    <w:rsid w:val="00350825"/>
    <w:rsid w:val="003719BB"/>
    <w:rsid w:val="00375526"/>
    <w:rsid w:val="00375BDC"/>
    <w:rsid w:val="00390651"/>
    <w:rsid w:val="00390691"/>
    <w:rsid w:val="00392A72"/>
    <w:rsid w:val="00393F9E"/>
    <w:rsid w:val="003A7CBD"/>
    <w:rsid w:val="003B3AD9"/>
    <w:rsid w:val="003B47E8"/>
    <w:rsid w:val="003C31B8"/>
    <w:rsid w:val="003C5D5A"/>
    <w:rsid w:val="003C6A3C"/>
    <w:rsid w:val="003C7E3A"/>
    <w:rsid w:val="003D1C42"/>
    <w:rsid w:val="003D5CA1"/>
    <w:rsid w:val="003E62FB"/>
    <w:rsid w:val="003F26DD"/>
    <w:rsid w:val="0040291B"/>
    <w:rsid w:val="00406881"/>
    <w:rsid w:val="00406E8A"/>
    <w:rsid w:val="004100B9"/>
    <w:rsid w:val="00427B1F"/>
    <w:rsid w:val="00431AC9"/>
    <w:rsid w:val="00432EF9"/>
    <w:rsid w:val="00444752"/>
    <w:rsid w:val="00445277"/>
    <w:rsid w:val="0045272C"/>
    <w:rsid w:val="00462EB2"/>
    <w:rsid w:val="004708E8"/>
    <w:rsid w:val="00471DD1"/>
    <w:rsid w:val="00475623"/>
    <w:rsid w:val="004762EE"/>
    <w:rsid w:val="00481515"/>
    <w:rsid w:val="00481715"/>
    <w:rsid w:val="00487F46"/>
    <w:rsid w:val="004A7366"/>
    <w:rsid w:val="004A76CF"/>
    <w:rsid w:val="004B3CFE"/>
    <w:rsid w:val="004B4312"/>
    <w:rsid w:val="004B5720"/>
    <w:rsid w:val="004D098A"/>
    <w:rsid w:val="004D16F3"/>
    <w:rsid w:val="004D351B"/>
    <w:rsid w:val="004D7AA7"/>
    <w:rsid w:val="004E0EA4"/>
    <w:rsid w:val="004E4065"/>
    <w:rsid w:val="004F3AF9"/>
    <w:rsid w:val="004F3D43"/>
    <w:rsid w:val="004F7D8C"/>
    <w:rsid w:val="00501738"/>
    <w:rsid w:val="0051147A"/>
    <w:rsid w:val="0052659A"/>
    <w:rsid w:val="005302C7"/>
    <w:rsid w:val="00545FAC"/>
    <w:rsid w:val="00547AB4"/>
    <w:rsid w:val="005710B8"/>
    <w:rsid w:val="00575AE2"/>
    <w:rsid w:val="00583102"/>
    <w:rsid w:val="00591DB3"/>
    <w:rsid w:val="005A1F8F"/>
    <w:rsid w:val="005A5C74"/>
    <w:rsid w:val="005B17DD"/>
    <w:rsid w:val="005C6982"/>
    <w:rsid w:val="005C7212"/>
    <w:rsid w:val="005D006D"/>
    <w:rsid w:val="005D6BB2"/>
    <w:rsid w:val="005E164C"/>
    <w:rsid w:val="005E35DD"/>
    <w:rsid w:val="005E5FA5"/>
    <w:rsid w:val="005F6AD1"/>
    <w:rsid w:val="00604AD6"/>
    <w:rsid w:val="00645123"/>
    <w:rsid w:val="00646B8E"/>
    <w:rsid w:val="0065191A"/>
    <w:rsid w:val="00654CE2"/>
    <w:rsid w:val="0065636B"/>
    <w:rsid w:val="0066489B"/>
    <w:rsid w:val="00693151"/>
    <w:rsid w:val="00693E48"/>
    <w:rsid w:val="006962B0"/>
    <w:rsid w:val="006A3184"/>
    <w:rsid w:val="006A6D05"/>
    <w:rsid w:val="006D002C"/>
    <w:rsid w:val="006D69A3"/>
    <w:rsid w:val="006D6DC8"/>
    <w:rsid w:val="00703A42"/>
    <w:rsid w:val="007166BF"/>
    <w:rsid w:val="007176C0"/>
    <w:rsid w:val="0072628A"/>
    <w:rsid w:val="00750338"/>
    <w:rsid w:val="00760A64"/>
    <w:rsid w:val="00767E23"/>
    <w:rsid w:val="00770AB9"/>
    <w:rsid w:val="007823AB"/>
    <w:rsid w:val="007966FD"/>
    <w:rsid w:val="00797D39"/>
    <w:rsid w:val="007A0982"/>
    <w:rsid w:val="007A3B07"/>
    <w:rsid w:val="007B331A"/>
    <w:rsid w:val="007B63E6"/>
    <w:rsid w:val="007E0548"/>
    <w:rsid w:val="0080035A"/>
    <w:rsid w:val="008077E3"/>
    <w:rsid w:val="00811E03"/>
    <w:rsid w:val="008276D6"/>
    <w:rsid w:val="00842127"/>
    <w:rsid w:val="008668AA"/>
    <w:rsid w:val="00870928"/>
    <w:rsid w:val="008820FE"/>
    <w:rsid w:val="00883DBB"/>
    <w:rsid w:val="008B16B2"/>
    <w:rsid w:val="008B19A5"/>
    <w:rsid w:val="008C1CE0"/>
    <w:rsid w:val="008C495D"/>
    <w:rsid w:val="008D262A"/>
    <w:rsid w:val="008D464C"/>
    <w:rsid w:val="008D7298"/>
    <w:rsid w:val="00903B76"/>
    <w:rsid w:val="00916A04"/>
    <w:rsid w:val="00930A68"/>
    <w:rsid w:val="0093476B"/>
    <w:rsid w:val="00945F98"/>
    <w:rsid w:val="00953C90"/>
    <w:rsid w:val="0099002D"/>
    <w:rsid w:val="00995F22"/>
    <w:rsid w:val="009A1E91"/>
    <w:rsid w:val="009A3780"/>
    <w:rsid w:val="009C1184"/>
    <w:rsid w:val="009D6F34"/>
    <w:rsid w:val="009D77A1"/>
    <w:rsid w:val="009E51A4"/>
    <w:rsid w:val="009F0512"/>
    <w:rsid w:val="009F3AB4"/>
    <w:rsid w:val="009F4A7B"/>
    <w:rsid w:val="009F5418"/>
    <w:rsid w:val="00A10268"/>
    <w:rsid w:val="00A11FD0"/>
    <w:rsid w:val="00A12BEC"/>
    <w:rsid w:val="00A13673"/>
    <w:rsid w:val="00A23A07"/>
    <w:rsid w:val="00A2420D"/>
    <w:rsid w:val="00A25084"/>
    <w:rsid w:val="00A43E39"/>
    <w:rsid w:val="00A45A6F"/>
    <w:rsid w:val="00A463AD"/>
    <w:rsid w:val="00A51A45"/>
    <w:rsid w:val="00A82331"/>
    <w:rsid w:val="00A85202"/>
    <w:rsid w:val="00A874E3"/>
    <w:rsid w:val="00A9575D"/>
    <w:rsid w:val="00AA4000"/>
    <w:rsid w:val="00AD6F57"/>
    <w:rsid w:val="00AE78ED"/>
    <w:rsid w:val="00AF49D2"/>
    <w:rsid w:val="00B25CCD"/>
    <w:rsid w:val="00B34F8F"/>
    <w:rsid w:val="00B36E67"/>
    <w:rsid w:val="00B372C0"/>
    <w:rsid w:val="00B45F96"/>
    <w:rsid w:val="00B531B7"/>
    <w:rsid w:val="00B53E84"/>
    <w:rsid w:val="00B57FCD"/>
    <w:rsid w:val="00B601E5"/>
    <w:rsid w:val="00B61447"/>
    <w:rsid w:val="00B77A36"/>
    <w:rsid w:val="00B827B7"/>
    <w:rsid w:val="00BB19AB"/>
    <w:rsid w:val="00BB2564"/>
    <w:rsid w:val="00BC3CF0"/>
    <w:rsid w:val="00BC5140"/>
    <w:rsid w:val="00BD5FF2"/>
    <w:rsid w:val="00C1549D"/>
    <w:rsid w:val="00C211B3"/>
    <w:rsid w:val="00C27F1A"/>
    <w:rsid w:val="00C324A5"/>
    <w:rsid w:val="00C375F2"/>
    <w:rsid w:val="00C42217"/>
    <w:rsid w:val="00C46D45"/>
    <w:rsid w:val="00C5354F"/>
    <w:rsid w:val="00C539C7"/>
    <w:rsid w:val="00C60030"/>
    <w:rsid w:val="00C711B7"/>
    <w:rsid w:val="00C95493"/>
    <w:rsid w:val="00CA1416"/>
    <w:rsid w:val="00CB3D90"/>
    <w:rsid w:val="00CB40E6"/>
    <w:rsid w:val="00CB706B"/>
    <w:rsid w:val="00CC0B16"/>
    <w:rsid w:val="00CD7516"/>
    <w:rsid w:val="00CF123D"/>
    <w:rsid w:val="00CF5B39"/>
    <w:rsid w:val="00D10C63"/>
    <w:rsid w:val="00D11AA0"/>
    <w:rsid w:val="00D125C3"/>
    <w:rsid w:val="00D1556C"/>
    <w:rsid w:val="00D3027A"/>
    <w:rsid w:val="00D45953"/>
    <w:rsid w:val="00D55863"/>
    <w:rsid w:val="00D609E8"/>
    <w:rsid w:val="00D61406"/>
    <w:rsid w:val="00D63B15"/>
    <w:rsid w:val="00D668A0"/>
    <w:rsid w:val="00D73506"/>
    <w:rsid w:val="00D8047E"/>
    <w:rsid w:val="00D94E90"/>
    <w:rsid w:val="00DA4159"/>
    <w:rsid w:val="00DB07FB"/>
    <w:rsid w:val="00DC30B6"/>
    <w:rsid w:val="00DD4CDE"/>
    <w:rsid w:val="00DE361D"/>
    <w:rsid w:val="00DF0A93"/>
    <w:rsid w:val="00E0020C"/>
    <w:rsid w:val="00E0690D"/>
    <w:rsid w:val="00E1133A"/>
    <w:rsid w:val="00E12436"/>
    <w:rsid w:val="00E156B4"/>
    <w:rsid w:val="00E15F74"/>
    <w:rsid w:val="00E6097C"/>
    <w:rsid w:val="00E67F9B"/>
    <w:rsid w:val="00E70CA8"/>
    <w:rsid w:val="00E72674"/>
    <w:rsid w:val="00E81B60"/>
    <w:rsid w:val="00E93076"/>
    <w:rsid w:val="00E9608E"/>
    <w:rsid w:val="00EA2304"/>
    <w:rsid w:val="00EB045D"/>
    <w:rsid w:val="00EB1697"/>
    <w:rsid w:val="00EC3010"/>
    <w:rsid w:val="00ED026B"/>
    <w:rsid w:val="00ED23C1"/>
    <w:rsid w:val="00ED2F27"/>
    <w:rsid w:val="00ED6B73"/>
    <w:rsid w:val="00EE043B"/>
    <w:rsid w:val="00EF31CA"/>
    <w:rsid w:val="00F00537"/>
    <w:rsid w:val="00F01820"/>
    <w:rsid w:val="00F06AE8"/>
    <w:rsid w:val="00F11816"/>
    <w:rsid w:val="00F306A3"/>
    <w:rsid w:val="00F33F5F"/>
    <w:rsid w:val="00F3674F"/>
    <w:rsid w:val="00F4526E"/>
    <w:rsid w:val="00F458FF"/>
    <w:rsid w:val="00F45B7A"/>
    <w:rsid w:val="00F64FAA"/>
    <w:rsid w:val="00F861EF"/>
    <w:rsid w:val="00FA7761"/>
    <w:rsid w:val="00FB10BC"/>
    <w:rsid w:val="00FC333A"/>
    <w:rsid w:val="00FD3B8C"/>
    <w:rsid w:val="00FE03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1FE"/>
    <w:pPr>
      <w:widowControl w:val="0"/>
      <w:autoSpaceDE w:val="0"/>
      <w:autoSpaceDN w:val="0"/>
      <w:jc w:val="both"/>
    </w:pPr>
    <w:rPr>
      <w:rFonts w:ascii="Century" w:hAnsi="Century"/>
      <w:kern w:val="2"/>
      <w:sz w:val="21"/>
      <w:szCs w:val="21"/>
    </w:rPr>
  </w:style>
  <w:style w:type="paragraph" w:styleId="Heading1">
    <w:name w:val="heading 1"/>
    <w:aliases w:val="NMP Heading 1,H1,h1,h11,h12,h13,h14,h15,h16"/>
    <w:basedOn w:val="Normal"/>
    <w:next w:val="Normal"/>
    <w:qFormat/>
    <w:rsid w:val="000111FE"/>
    <w:pPr>
      <w:keepNext/>
      <w:widowControl/>
      <w:spacing w:before="240" w:after="60"/>
      <w:jc w:val="left"/>
      <w:outlineLvl w:val="0"/>
    </w:pPr>
    <w:rPr>
      <w:rFonts w:ascii="Arial" w:hAnsi="Arial" w:cs="Arial"/>
      <w:b/>
      <w:bCs/>
      <w:kern w:val="28"/>
      <w:sz w:val="28"/>
      <w:szCs w:val="28"/>
      <w:lang w:val="en-GB"/>
    </w:rPr>
  </w:style>
  <w:style w:type="paragraph" w:styleId="Heading2">
    <w:name w:val="heading 2"/>
    <w:basedOn w:val="Normal"/>
    <w:next w:val="Normal"/>
    <w:qFormat/>
    <w:rsid w:val="000111FE"/>
    <w:pPr>
      <w:keepNext/>
      <w:outlineLvl w:val="1"/>
    </w:pPr>
    <w:rPr>
      <w:b/>
      <w:bCs/>
    </w:rPr>
  </w:style>
  <w:style w:type="paragraph" w:styleId="Heading3">
    <w:name w:val="heading 3"/>
    <w:basedOn w:val="Normal"/>
    <w:next w:val="Normal"/>
    <w:qFormat/>
    <w:rsid w:val="00CC0B1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111FE"/>
    <w:pPr>
      <w:widowControl/>
      <w:jc w:val="left"/>
    </w:pPr>
    <w:rPr>
      <w:lang w:val="en-GB"/>
    </w:rPr>
  </w:style>
  <w:style w:type="paragraph" w:styleId="BodyTextIndent">
    <w:name w:val="Body Text Indent"/>
    <w:basedOn w:val="Normal"/>
    <w:rsid w:val="000111FE"/>
    <w:pPr>
      <w:ind w:left="720"/>
    </w:pPr>
    <w:rPr>
      <w:b/>
      <w:bCs/>
    </w:rPr>
  </w:style>
  <w:style w:type="paragraph" w:customStyle="1" w:styleId="normalpuce">
    <w:name w:val="normal puce"/>
    <w:basedOn w:val="Normal"/>
    <w:rsid w:val="000111FE"/>
    <w:pPr>
      <w:widowControl/>
      <w:tabs>
        <w:tab w:val="num" w:pos="360"/>
      </w:tabs>
      <w:spacing w:after="180"/>
      <w:ind w:left="360" w:hanging="360"/>
      <w:jc w:val="left"/>
    </w:pPr>
    <w:rPr>
      <w:kern w:val="0"/>
      <w:sz w:val="20"/>
      <w:szCs w:val="20"/>
      <w:lang w:val="en-GB"/>
    </w:rPr>
  </w:style>
  <w:style w:type="paragraph" w:customStyle="1" w:styleId="B1">
    <w:name w:val="B1"/>
    <w:basedOn w:val="List"/>
    <w:rsid w:val="000111FE"/>
    <w:pPr>
      <w:widowControl/>
      <w:spacing w:after="180"/>
      <w:ind w:left="568" w:hanging="284"/>
      <w:jc w:val="left"/>
    </w:pPr>
    <w:rPr>
      <w:kern w:val="0"/>
      <w:sz w:val="20"/>
      <w:szCs w:val="20"/>
      <w:lang w:val="en-GB"/>
    </w:rPr>
  </w:style>
  <w:style w:type="paragraph" w:styleId="List">
    <w:name w:val="List"/>
    <w:basedOn w:val="Normal"/>
    <w:rsid w:val="000111FE"/>
    <w:pPr>
      <w:ind w:left="360" w:hanging="360"/>
    </w:pPr>
  </w:style>
  <w:style w:type="paragraph" w:customStyle="1" w:styleId="TAL">
    <w:name w:val="TAL"/>
    <w:basedOn w:val="Normal"/>
    <w:rsid w:val="000111FE"/>
    <w:pPr>
      <w:keepNext/>
      <w:keepLines/>
      <w:jc w:val="left"/>
    </w:pPr>
    <w:rPr>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0111F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
    <w:rsid w:val="000111FE"/>
    <w:pPr>
      <w:keepNext/>
      <w:keepLines/>
      <w:widowControl/>
      <w:spacing w:after="180"/>
      <w:jc w:val="left"/>
    </w:pPr>
    <w:rPr>
      <w:b/>
      <w:bCs/>
      <w:kern w:val="0"/>
      <w:sz w:val="20"/>
      <w:szCs w:val="20"/>
      <w:lang w:val="en-GB"/>
    </w:rPr>
  </w:style>
  <w:style w:type="character" w:styleId="Hyperlink">
    <w:name w:val="Hyperlink"/>
    <w:basedOn w:val="DefaultParagraphFont"/>
    <w:rsid w:val="000111FE"/>
    <w:rPr>
      <w:color w:val="0000FF"/>
      <w:u w:val="single"/>
    </w:rPr>
  </w:style>
  <w:style w:type="character" w:styleId="CommentReference">
    <w:name w:val="annotation reference"/>
    <w:basedOn w:val="DefaultParagraphFont"/>
    <w:semiHidden/>
    <w:rsid w:val="007E0548"/>
    <w:rPr>
      <w:sz w:val="16"/>
      <w:szCs w:val="16"/>
    </w:rPr>
  </w:style>
  <w:style w:type="paragraph" w:styleId="CommentText">
    <w:name w:val="annotation text"/>
    <w:basedOn w:val="Normal"/>
    <w:semiHidden/>
    <w:rsid w:val="007E0548"/>
    <w:rPr>
      <w:sz w:val="20"/>
      <w:szCs w:val="20"/>
    </w:rPr>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
    <w:name w:val="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basedOn w:val="DefaultParagraphFont"/>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04504F"/>
    <w:pPr>
      <w:ind w:left="720"/>
      <w:contextualSpacing/>
    </w:pPr>
  </w:style>
  <w:style w:type="paragraph" w:styleId="NormalWeb">
    <w:name w:val="Normal (Web)"/>
    <w:basedOn w:val="Normal"/>
    <w:uiPriority w:val="99"/>
    <w:semiHidden/>
    <w:unhideWhenUsed/>
    <w:rsid w:val="000E6A40"/>
    <w:pPr>
      <w:widowControl/>
      <w:autoSpaceDE/>
      <w:autoSpaceDN/>
      <w:spacing w:before="100" w:beforeAutospacing="1" w:after="100" w:afterAutospacing="1"/>
      <w:jc w:val="left"/>
    </w:pPr>
    <w:rPr>
      <w:rFonts w:ascii="Times New Roman" w:eastAsiaTheme="minorHAnsi" w:hAnsi="Times New Roman"/>
      <w:kern w:val="0"/>
      <w:sz w:val="24"/>
      <w:szCs w:val="24"/>
    </w:rPr>
  </w:style>
  <w:style w:type="paragraph" w:styleId="Footer">
    <w:name w:val="footer"/>
    <w:basedOn w:val="Normal"/>
    <w:link w:val="FooterChar"/>
    <w:uiPriority w:val="99"/>
    <w:unhideWhenUsed/>
    <w:rsid w:val="00F45B7A"/>
    <w:pPr>
      <w:tabs>
        <w:tab w:val="center" w:pos="4680"/>
        <w:tab w:val="right" w:pos="9360"/>
      </w:tabs>
    </w:pPr>
  </w:style>
  <w:style w:type="character" w:customStyle="1" w:styleId="FooterChar">
    <w:name w:val="Footer Char"/>
    <w:basedOn w:val="DefaultParagraphFont"/>
    <w:link w:val="Footer"/>
    <w:uiPriority w:val="99"/>
    <w:rsid w:val="00F45B7A"/>
    <w:rPr>
      <w:rFonts w:ascii="Century" w:hAnsi="Century"/>
      <w:kern w:val="2"/>
      <w:sz w:val="21"/>
      <w:szCs w:val="21"/>
    </w:rPr>
  </w:style>
</w:styles>
</file>

<file path=word/webSettings.xml><?xml version="1.0" encoding="utf-8"?>
<w:webSettings xmlns:r="http://schemas.openxmlformats.org/officeDocument/2006/relationships" xmlns:w="http://schemas.openxmlformats.org/wordprocessingml/2006/main">
  <w:divs>
    <w:div w:id="1179737992">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79556450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826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Draft Agenda for RAN#20</vt:lpstr>
    </vt:vector>
  </TitlesOfParts>
  <Company>NEC</Company>
  <LinksUpToDate>false</LinksUpToDate>
  <CharactersWithSpaces>4238</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RAN#20</dc:title>
  <dc:subject/>
  <dc:creator>Fracois Courau</dc:creator>
  <cp:keywords/>
  <dc:description/>
  <cp:lastModifiedBy>Sharat S. Chander, AT&amp;T</cp:lastModifiedBy>
  <cp:revision>23</cp:revision>
  <cp:lastPrinted>2009-04-28T21:43:00Z</cp:lastPrinted>
  <dcterms:created xsi:type="dcterms:W3CDTF">2009-05-26T01:07:00Z</dcterms:created>
  <dcterms:modified xsi:type="dcterms:W3CDTF">2009-05-26T12:15:00Z</dcterms:modified>
</cp:coreProperties>
</file>